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2008 16 vom 16. April 2008</w:t>
      </w:r>
    </w:p>
    <w:p>
      <w:r>
        <w:t>GR Gerichte, 2008-04-16, DE</w:t>
      </w:r>
    </w:p>
    <w:p>
      <w:r>
        <w:rPr>
          <w:b/>
        </w:rPr>
        <w:t xml:space="preserve">Quelle: </w:t>
      </w:r>
      <w:r>
        <w:t>https://mcp.opencaselaw.ch/entscheid/gr_gerichte_BK 2008 16</w:t>
      </w:r>
    </w:p>
    <w:p>
      <w:r>
        <w:t>FR: GR_GERICHTE BK 2008 16 du 16 avril 2008</w:t>
      </w:r>
    </w:p>
    <w:p>
      <w:r>
        <w:t>IT: GR_GERICHTE BK 2008 16 del 16 aprile 2008</w:t>
      </w:r>
    </w:p>
    <w:p>
      <w:pPr>
        <w:pStyle w:val="Heading2"/>
      </w:pPr>
      <w:r>
        <w:t>Regeste</w:t>
      </w:r>
    </w:p>
    <w:p>
      <w:r>
        <w:t>Beizug eines Übersetzers | StA Beschwerdeentscheid</w:t>
      </w:r>
    </w:p>
    <w:p>
      <w:pPr>
        <w:pStyle w:val="Heading2"/>
      </w:pPr>
      <w:r>
        <w:t>Erwägungen</w:t>
      </w:r>
    </w:p>
    <w:p>
      <w:r>
        <w:rPr>
          <w:b/>
        </w:rPr>
        <w:t>E. 1</w:t>
      </w:r>
    </w:p>
    <w:p>
      <w:r>
        <w:t>Gemäss Art. 138 der Strafprozessordnung des Kantons Graubün- den (StPO, BR 350.000) kann gegen Beschwerdeentscheide des Staatsanwal- tes bei der Beschwerdekammer des Kantonsgerichts wegen Rechtswidrigkeit oder Unangemessenheit Beschwerde geführt werden. Die Beschwerde ist in- nert zwanzig Tagen, seit der Betroffene vom angefochtenen Entscheid Kenntnis erhalten hat, schriftlich einzureichen (Art. 139 Abs. 2 StPO). Die Beschwerde- schrift hat gemäss Art. 139 Abs. 3 StPO in Verbindung mit Art. 30 Abs. 1 des Gesetzes über die Verwaltungsrechtspflege (VRG, BR 370.100) den Antrag und eine Begründung zu enthalten hat. Es ist zu sagen, welche Punkte angefochten und worin die Rechtswidrigkeit oder Unangemessenheit erblickt wird. Die Be- gründung muss sich dabei aus der Eingabe selbst ergeben (PKG 2004 Nr. 19 E. 4.b; W. Padrutt, Kommentar zur Strafprozessordnung des Kantons Graubün-</w:t>
      </w:r>
    </w:p>
    <w:p>
      <w:r>
        <w:rPr>
          <w:b/>
        </w:rPr>
        <w:t>E. 5</w:t>
      </w:r>
    </w:p>
    <w:p>
      <w:r>
        <w:t>den, 1996, S. 343 mit Hinweisen). Die Vorinstanz legte im angefochtenen Ent- scheid eingehend dar, weshalb auf die Wiederholung der Einvernahmen unter Beizug eines Dolmetschers verzichtet werden kann. Namentlich zeigte sie auf, gestützt auf welche konkreten Umstände sie darauf schloss, dass der Be- schwerdeführer über Deutschkenntnisse verfügt, die es ihm ohne weiteres er- möglichten, seine Rechte anlässlich der Einvernahme vom 20. Februar 2008 zu wahren. Mit diesen Ausführungen setzt sich der Berufungskläger nicht ausein- ander. Er legt nicht dar, weshalb die von der Vorinstanz gewonnene Erkenntnis im Einzelnen falsch sein soll. Wenn der Beschwerdeführer vorbringt, er verfüge nicht über genügende Kenntnisse der deutschen Sprache und die Einvernahme vom 20. Februar 2008 bemängelt, beschränkt er sich darauf, die bereits im vor- instanzlichen Verfahren vorgetragenen Ausführungen wiederzugeben. Seine Kritik ist rein appellatorisch, weshalb auch nicht auf sein Rechtsmittel eingetre- ten werden kann. 2. Selbst wenn der fehlenden Begründung keine Beachtung zu schenken wäre (vgl. zu den Anforderungen an die Rechtsmitteleingabe eines Laien PKG 1999 Nr. 26) und der Kantonsgerichtsausschuss den Entscheid der Staatsanwaltschaft von sich aus einer Überprüfung unterziehen würde, bestünde kein Anlass zu einer Korrektur. a) Der Anspruch auf Beizug eines Dolmetschers wird in erster Linie durch die Vorschriften des kantonalen Strafprozessrechts geregelt (Urteil 6P.43/2001 des Bundgerichts vom 31. Mai 2001 E. 1.b). Gemäss Art. 87 Abs. 4 StPO kann der Untersuchungsrichter zur Einvernahme einer fremdsprachigen Person einen Übersetzer beiziehen. Die Bestimmung sieht demnach keine ab- solute Pflicht zum Beizug eines Dolmetschers vor. Vom Hilfsmittel des Dolmet- schers muss nur dann Gebrauch gemacht werden, wenn der Fremdsprachige die Sprache der ihn einvernehmenden Behörde nicht genügend beherrscht (vgl. Hauser/Schweri, Schweizerisches Strafprozessrecht, 6. Auflage, § 44, S. 169; Padrutt, a.a.O., S. 195 f.). Kein weitergehender Anspruch ergibt sich aus dem übergeordneten Recht. Gemäss Art. 6 Abs. 3 lit. e der Europäischen Menschen- rechtskonvention (EMRK, SR 0.101) ist dem Angeschuldigten dann ein Dolmet- scher beizugeben, wenn er die Verhandlungssprache des Gerichts nicht ver- steht oder sich nicht darin ausdrücken kann (vgl. zum Ganzen BGE 121 I 196 E. 5a S. 204 f.). b) Die Staatsanwaltschaft gelangte in der angefochtenen Verfügung zur Feststellung, dass der Beschwerdeführer sehr gute Deutschkenntnisse hat,</w:t>
      </w:r>
    </w:p>
    <w:p>
      <w:r>
        <w:rPr>
          <w:b/>
        </w:rPr>
        <w:t>E. 6</w:t>
      </w:r>
    </w:p>
    <w:p>
      <w:r>
        <w:t>die es ihm ohne weiteres ermöglichten, den verschiednen Einvernahmen zu fol- gen und seine Rechte zu wahren. Dieser Schluss erweist sich als offensichtlich zutreffend. ba) Gemäss eigenen Angaben lebt der Beschwerdeführer seit 1996 in der Schweiz. Im gleichen Jahr hat er sich mit E., welche die deutsche Sprache beherrscht, verheiratet. Er hat seit ungefähr 2001 das Schweizer Bürgerrecht und arbeitete an verschiednen Arbeitsstellen, unter anderem - in den Jahren 2006 und 2007 - bei der F. AG. Wie nachgerade der dem Verfahren zugrunde liegende Sachverhalt zeigt, wurde der Beschwerdeführer dort zusammen mit deutschsprachigen Mitarbeitern eingesetzt und es ist denn auch schwerlich an- zunehmen, dass der Beschwerdeführer im Sicherheitsdienst eine Beschäfti- gung gefunden hätte, wenn er trotz seines langjährigen Aufenthalts in der Schweiz noch erhebliche Schwierigkeiten mit der deutschen Sprache hätte. bb) Vorgängig zur untersuchungsrichterlichen Einvernahme wurde der Beschwerdeführer alsdann zweimal - nämlich am 11. September 2007 und am 16. Oktober 2007 - polizeilich befragt. Anlässlich der ersten Einvernahme vom</w:t>
      </w:r>
    </w:p>
    <w:p>
      <w:r>
        <w:rPr>
          <w:b/>
        </w:rPr>
        <w:t>E. 11</w:t>
      </w:r>
    </w:p>
    <w:p>
      <w:r>
        <w:t>September 2007 war auch seine Ehefrau anwesend, die auf seinen Wunsch hin als Übersetzerin fungierte. Wie dem diesbezüglichen Protokoll entnommen werden kann, wurde der Beschwerdeführer am Schluss der Befragung danach gefragt, ob er die Einvernahme verstanden habe. X. erklärte, er habe praktisch alles selber verstanden. Einige wenige Ausdrücke habe ihm seine Ehefrau ge- nau übersetzt. Bei der zweiten Einvernahme erschien X. allein. Dass er Pro- bleme hatte, dieser polizeilichen Befragung zu folgen, wurde weder anlässlich der Befragung noch zu einem späteren Zeitpunkt geltend gemacht. Es ist nun nicht ersichtlich, weshalb der Beschwerdeführer gestützt auf seine Deutsch- kenntnisse sehr wohl in der Lage war, den polizeilichen Einvernahmen zu fol- gen, dann aber anlässlich der untersuchungsrichterlichen Einvernahme Schwie- rigkeiten mit dem Verständnis gehabt haben soll. Bei der untersuchungsrichter- lichen Einvernahme von A. und der eigenen Befragung verzichtete der Be- schwerdeführer denn auch auf die Dienste des beigezogenen Dolmetschers, weil er über die besseren Deutschkenntnisse verfügte. Sowohl in der diesbe- züglichen Aktennotiz des Untersuchungsrichter (vgl. act. 1.8) wie auch dem un- tersuchungsrichterlichen Schreiben vom 12. März 2008 (act. 1.13) werden dem Beschwerdeführer denn auch gute Deutschkenntnisse attestiert. Das alles zeigt auf, dass der Beschwerdeführer tatsächlich über derart gute Deutschkenntnisse verfügt, dass er ohne Probleme den Einvernahmen folgen sowie seine Rechte wahren konnte.</w:t>
      </w:r>
    </w:p>
    <w:p>
      <w:r>
        <w:t>7 bc) Nichts anderes ergibt sich im Übrigen auch aus den Einwänden des Beschwerdeführers in Bezug auf die Einvernahme vom 20. Februar 2008. Wenn er die Vorgehensweise des Untersuchungsrichters bei der Befragung der Zeugen bemängelt und etwa geltend macht, er habe sich gegen die falsche bzw. unvollständige Protokollierung zur Wehr gesetzt, ergibt sich daraus wohl nicht der Schluss, der Beschwerdeführer habe anlässlich der Einvernahme Verstän- digungsprobleme gehabt. Im Gegenteil. Es zeigt, dass der Beschwerdeführer über die entsprechenden Deutschkenntnisse verfügt und sehr wohl in der Lage war, der Einvernahme zu folgen und seine Auffassung zu äussern. Entspre- chend besteht auch keine Veranlassung, die Einvernahme vom 20. Februar 2008 zu wiederholen. 3. Bei diesem Ausgang des Verfahrens gehen die Kosten des Be- schwerdeverfahrens von Fr. 400.-- zu Lasten des Beschwerdeführers (Art. 160 Abs. 1 StPO). Gemäss Art. 3 lit. c der Verordnung über Gebühren und Entschä- digung der im Strafverfahren mitwirkenden Personen sowie das Rechnungswe- sen (BR 350.230) beträgt die Gerichtsgebühr im Verfahren vor Kantonsgericht als Beschwerdeinstanz zwischen Fr. 80.-- bis Fr. 5'000.--. Mit der Beschränkung der Kosten auf den Betrag von Fr. 400.-- wird dem Umstand, dass die Beschwer- dekammer bei der zweiten, vom Beschwerdeführer anhängig gemachten Be- schwerde grundsätzlich denselben Sachverhalt und die gleiche Aktenlage zu würdigen hat, angemessen Rechnung getragen.</w:t>
      </w:r>
    </w:p>
    <w:p>
      <w:r>
        <w:t>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